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2007/20 vom 10. Dezember 2007</w:t>
      </w:r>
    </w:p>
    <w:p>
      <w:r>
        <w:t>Sg Versicherungsgericht, 2007-12-10, DE</w:t>
      </w:r>
    </w:p>
    <w:p>
      <w:r>
        <w:rPr>
          <w:b/>
        </w:rPr>
        <w:t xml:space="preserve">Quelle: </w:t>
      </w:r>
      <w:r>
        <w:t>https://mcp.opencaselaw.ch/entscheid/sg_publikationen_UV 2007_20</w:t>
      </w:r>
    </w:p>
    <w:p>
      <w:r>
        <w:t>FR: SG_VERSICHERUNGSGERICHT UV 2007/20 du 10 décembre 2007</w:t>
      </w:r>
    </w:p>
    <w:p>
      <w:r>
        <w:t>IT: SG_VERSICHERUNGSGERICHT UV 2007/20 del 10 dicembre 2007</w:t>
      </w:r>
    </w:p>
    <w:p>
      <w:pPr>
        <w:pStyle w:val="Heading2"/>
      </w:pPr>
      <w:r>
        <w:t>Regeste</w:t>
      </w:r>
    </w:p>
    <w:p>
      <w:r>
        <w:t>Art. 6 und 10 UVG. Kausalität von Hallux rigidus-Beschwerden verneint. Durch die Unfälle wurde ein vorbestehender degenerativer Zustand vorübergehend verschlimmert (Entscheid des Versicherungsgerichts des Kantons St. Gallen vom 10. Dezember 2007, UV 2007/20).</w:t>
      </w:r>
    </w:p>
    <w:p>
      <w:pPr>
        <w:pStyle w:val="Heading2"/>
      </w:pPr>
      <w:r>
        <w:t>Erwägungen</w:t>
      </w:r>
    </w:p>
    <w:p>
      <w:r>
        <w:rPr>
          <w:b/>
        </w:rPr>
        <w:t>E. 1.1</w:t>
      </w:r>
    </w:p>
    <w:p>
      <w:r>
        <w:t>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obliegenden Beweiswürdigung nach dem im Sozialversicherungsrecht üblichen Beweisgrad der überwiegenden Wahrscheinlichkeit zu befinden haben. Die blosse Möglichkeit eines Zusammenhangs genügt für die Begründung eines Leistungsanspruchs nicht (BGE 119 V 338 Erw. 1, 118 V 289 Erw. 1b, je mit Hinweisen). Weiter ist das Vorhandensein eines adäquaten Kausalzusammenhangs zu prüfen. Die adäquate Kausalität dient der rechtlichen Eingrenzung der sich aus dem natürlichen Kausalzusammenhang ergebenden Haftung des Unfallversicherers (BGE 127 V 102 Erw. 5b/aa mit Hinweisen).</w:t>
      </w:r>
    </w:p>
    <w:p>
      <w:r>
        <w:rPr>
          <w:b/>
        </w:rPr>
        <w:t>E. 1.2</w:t>
      </w:r>
    </w:p>
    <w:p>
      <w:r>
        <w:t>Die Leistungspflicht des Unfallversicherers bei einem durch den Unfall verschlimmerten oder überhaupt manifest gewordenen krankhaften Vorzustand entfällt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[seit 1. Januar 2007 Sozialversicherungsrechtliche Abteilungen des Bundesgerichts] i.S. Z. vom 18. Dezember 2003, U 258/02 und i.S. O. vom 31. August 2001, U 285/00).</w:t>
      </w:r>
    </w:p>
    <w:p>
      <w:r>
        <w:rPr>
          <w:b/>
        </w:rPr>
        <w:t>E. 1.3</w:t>
      </w:r>
    </w:p>
    <w:p>
      <w:r>
        <w:t>Die Formel "post hoc ergo propter hoc", nach deren Bedeutung eine gesundheitliche Schädigung schon dann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1.4</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122 V 158 Erw. 1a, 121 V 210 Erw. 6c, je mit Hinweisen). Der Untersuchungsgrundsatz schliesst die Beweislast im Sinn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w:t>
      </w:r>
    </w:p>
    <w:p>
      <w:r>
        <w:rPr>
          <w:b/>
        </w:rPr>
        <w:t>E. 1.5</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w:t>
      </w:r>
    </w:p>
    <w:p>
      <w:r>
        <w:rPr>
          <w:b/>
        </w:rPr>
        <w:t>E. 2</w:t>
      </w:r>
    </w:p>
    <w:p>
      <w:r>
        <w:t>Streitig und zu prüfen ist im vorliegenden Fall, ob die Beschwerdegegnerin auch nach dem 30. September 2002 Leistungen für Unfallfolgen am linken Fuss zu übernehmen hat. Die Formulierung des Dispositivs in der Verfügung vom 13. Juli 2006 stellt keine zeitliche Beschränkung der Prüfungsbefugnis des Gerichts dar. Denn in den Erwägungen werden klarerweise beide Unfälle, also derjenige vom 23. Mai 2002 und derjenige vom 29. Juli 2005, in die Kausalitätsbeurteilung einbezogen.</w:t>
      </w:r>
    </w:p>
    <w:p>
      <w:r>
        <w:rPr>
          <w:b/>
        </w:rPr>
        <w:t>E. 3</w:t>
      </w:r>
    </w:p>
    <w:p>
      <w:r>
        <w:t>Bezüglich der Folgen des Ereignisses vom 23. Mai 2002 ist den vorhandenen medizinischen Akten im Sinn eines Vorzustandes zu entnehmen, dass sich bei der erweiterten fachärztlichen Abklärung durch Dr. B.___ im September 2002 der typische Befund eines Hallux rigidus zeigte, der durch den Unfall traumatisiert und aktiviert worden war (act. G9.M1). Aufgrund der Stellungnahme von Dr. C.___ vom 4. Oktober 2005 ist sodann davon auszugehen, dass die nach der Infiltration durch Dr. B.___ herbeigeführte Beschwerdefreiheit nicht durchgehend anhielt, sodass im April 2003 und im März 2004 weitere Arztbesuche notwendig waren (act. G9.M3). Am 29. Juli 2005 stiess sich der Beschwerdeführer bei einem Sturz mit dem Fahrrad die linke Grosszehe ein weiteres Mal an. Es traten wieder Beschwerden auf, die nun gemäss der Beurteilung von Dr. D.___ im September 2005 einen operativen Eingriff notwendig machten (act. G9.M4). Während die Beschwerdegegnerin davon ausgeht, dass die Beschwerden wegen des degenerativen Vorzustands und nur vorübergehend wegen der Unfälle eingetreten seien, macht der Beschwerdeführer geltend, die Unfälle seien zumindest Teilursachen für die danach notwendig gewordenen ärztlichen Behandlungen.</w:t>
      </w:r>
    </w:p>
    <w:p>
      <w:r>
        <w:rPr>
          <w:b/>
        </w:rPr>
        <w:t>E. 4</w:t>
      </w:r>
    </w:p>
    <w:p>
      <w:r>
        <w:t>Dr. F.___ führte in der von der Beschwerdegegnerin im Rahmen des Einspracheverfahrens eingeholten Stellungnahme vom 29. November 2006 aus, das Ereignis vom 29. Juli 2005 habe zu einer kurzfristigen temporären Verschlimmerung des vorbestehenden Hallux rigidus geführt. Der degenerative Vorzustand habe schon zur Zeit des ersten Unfalls bestanden und sich im Verlauf der Zeit aus eigener Dynamik verschlimmert. Die durchgeführte Operation stehe ausschliesslich in Zusammenhang mit dieser Entwicklung. Hallux rigdius Zustände würden anfänglich zu intervallartigen Beschwerden, insbesondere beim Abrollen des Fusses führen. Danach käme es meist innerhalb von einigen Jahren zu Dauerbeschwerden, die behandlungsbedürftig würden, auch ohne dass eine Traumatisierung stattgefunden habe. Die Indikation zur operativen Sanierung des linken Grosszehengrundgelenks sei klar wegen des vorbestehenden Hallux ridigus gestellt worden. Die Diagnose eines traumatischen Hallux ridigus habe Dr. D.___ von Dr. C.___ übernommen. Dr. D.___ habe den Beschwerdeführer im Jahr 2005 erstmals gesehen und könnte die übernommene Diagnose somit nicht begründen. Damit bestätigt Dr. F.___ die Beurteilungen von Dr. E.___, der in den beiden Stellungnahmen vom 9. Dezember 2005 und 15. Mai 2006 von der gleichen Entwicklung ausging. Die Beurteilung von Dr. F.___ weicht auch nicht von den Stellungnahmen von Dr. B.___ vom 20. September 2002 und 2. April 2007 ab. Im ersten Bericht wies Dr. B.___ zwar auf einen traumatisierten Hallux rigidus hin, hielt aber gleichzeitig auch fest, dass es sich um eine bereits laufende degenerative Entwicklung handle. Auch im Jahr 2007 fand er keine andere Begründung für den degenerativen Zustand im Grosszehengrundgelenk und verwies ausdrücklich auf die seiner Meinung nach zutreffende Beurteilung durch Dr. E.___ vom 15. Mai 2006.</w:t>
      </w:r>
    </w:p>
    <w:p>
      <w:r>
        <w:rPr>
          <w:b/>
        </w:rPr>
        <w:t>E. 5</w:t>
      </w:r>
    </w:p>
    <w:p>
      <w:r>
        <w:t>Insgesamt geben die medizinischen Unterlagen ein einheitliches Bild, das von Dr. F.___ in der ärztlichen Beurteilung vom 29. November 2006 zusammengefasst wurde. Was der Beschwerdeführer dagegen unter Hinweis auf die Beurteilung von Dr. C.___ vorbringt, vermag die fachärztlichen Schlussfolgerungen nicht in Zweifel zu zeihen. Mit der Beschwerdegegnerin ist deshalb auf die medizinische Beurteilung abzustellen, wonach die beiden Unfälle eine traumatische Verschlimmerung des bereits vor dem ersten Ereignis degenerativen Zustandes auslösten, jedoch spätestens nach vier Monaten (am 30. September 2002) bzw. nach Abschluss der Notfallbehandlung am 30. Juli 2005 (act. G9.M2) jeweils der status quo sine erreicht war. Demnach ist überwiegend wahrscheinlich, dass der degenerative Vorzustand im linken Fuss durch die Unfälle zwar vorübergehend traumatisch verschlimmert wurde, diese sich aber nicht auf die bereits bestehende arthrotische Veränderung richtungsweisend ausgewirkt haben, weshalb ab 30. September 2002 bzw. ab 30. Juli 2005 von einem status quo sine auszugehen ist. Der operative Eingriff im September 2005 erfolgte demzufolge nicht zur Korrektur eines unfallbedingten Zustandes. Von weiteren Sachverhaltsabklärungen, wie etwa den vom Beschwerdeführer beantragten Zeugenbefragungen, ist abzusehen, da davon kein entscheidrelevanter neuer Aufschluss zu erwarten ist (antizipierte Beweiswürdigung; BGE 124 V 94 Erw. 4b, 122 V 162 Erw. 1d und seitherige Entscheide).</w:t>
      </w:r>
    </w:p>
    <w:p>
      <w:r>
        <w:rPr>
          <w:b/>
        </w:rPr>
        <w:t>E. 6</w:t>
      </w:r>
    </w:p>
    <w:p>
      <w:r>
        <w:t>Ist nach dem Gesagten die Fussproblematik nicht überwiegend wahrscheinlich auf einen versicherten Unfall zurückzuführen, hat die Beschwerdegegnerin ihre diesbezügliche Leistungspflicht ab 30. September 2002 bzw. nach Abschluss der Notfallbehandlung am 30. Juli 2005 zu Recht verneint. Bei diesem Ergebnis ist die Beschwerde abzuweisen;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